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01BEC" w14:textId="137A9178" w:rsidR="002D61B7" w:rsidRPr="00C650A0" w:rsidRDefault="00AB603B" w:rsidP="002D61B7">
      <w:pPr>
        <w:spacing w:line="48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softHyphen/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softHyphen/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softHyphen/>
      </w:r>
    </w:p>
    <w:p w14:paraId="007CC90C" w14:textId="77777777" w:rsidR="002D61B7" w:rsidRPr="00C650A0" w:rsidRDefault="002D61B7" w:rsidP="002D61B7">
      <w:pPr>
        <w:spacing w:line="480" w:lineRule="auto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1130C5D4" w14:textId="77777777" w:rsidR="002D61B7" w:rsidRPr="00C650A0" w:rsidRDefault="002D61B7" w:rsidP="002D61B7">
      <w:pPr>
        <w:spacing w:line="480" w:lineRule="auto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0A9FD740" w14:textId="3FC5893E" w:rsidR="002D61B7" w:rsidRPr="00C650A0" w:rsidRDefault="002D61B7" w:rsidP="00C36CCC">
      <w:pPr>
        <w:pStyle w:val="Heading1"/>
        <w:rPr>
          <w:rFonts w:ascii="Arial" w:hAnsi="Arial" w:cs="Arial"/>
          <w:sz w:val="22"/>
          <w:szCs w:val="22"/>
        </w:rPr>
      </w:pPr>
      <w:r w:rsidRPr="00C650A0">
        <w:rPr>
          <w:rFonts w:ascii="Arial" w:hAnsi="Arial" w:cs="Arial"/>
          <w:sz w:val="22"/>
          <w:szCs w:val="22"/>
        </w:rPr>
        <w:t>Socioeconomic Status and Health Disparities in the United States</w:t>
      </w:r>
    </w:p>
    <w:p w14:paraId="182EF44E" w14:textId="77777777" w:rsidR="00561E4B" w:rsidRPr="00C650A0" w:rsidRDefault="00561E4B" w:rsidP="002D61B7">
      <w:pPr>
        <w:spacing w:line="480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62844071" w14:textId="2CDC49DD" w:rsidR="002D61B7" w:rsidRPr="00C650A0" w:rsidRDefault="002D61B7" w:rsidP="002D61B7">
      <w:pPr>
        <w:spacing w:line="480" w:lineRule="auto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Katherine E. 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Stearley</w:t>
      </w:r>
      <w:proofErr w:type="spellEnd"/>
    </w:p>
    <w:p w14:paraId="1A0A7D47" w14:textId="1B1C83FA" w:rsidR="002D61B7" w:rsidRPr="00C650A0" w:rsidRDefault="002D61B7" w:rsidP="002D61B7">
      <w:pPr>
        <w:spacing w:line="480" w:lineRule="auto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>Department of Psychology, University of Rhode Island</w:t>
      </w:r>
    </w:p>
    <w:p w14:paraId="2FFFCE2F" w14:textId="5C0CBAFF" w:rsidR="002D61B7" w:rsidRPr="00C650A0" w:rsidRDefault="002D61B7" w:rsidP="002D61B7">
      <w:pPr>
        <w:spacing w:line="480" w:lineRule="auto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>PSY 399: Multicultural Psychology</w:t>
      </w:r>
    </w:p>
    <w:p w14:paraId="6F6EB49B" w14:textId="26F61823" w:rsidR="002D61B7" w:rsidRPr="00C650A0" w:rsidRDefault="002D61B7" w:rsidP="002D61B7">
      <w:pPr>
        <w:spacing w:line="480" w:lineRule="auto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Dr. Paul 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Anderer</w:t>
      </w:r>
      <w:proofErr w:type="spellEnd"/>
    </w:p>
    <w:p w14:paraId="4A08B8CD" w14:textId="2979C69F" w:rsidR="002D61B7" w:rsidRPr="00C650A0" w:rsidRDefault="002D61B7" w:rsidP="002D61B7">
      <w:pPr>
        <w:spacing w:line="480" w:lineRule="auto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>March</w:t>
      </w:r>
      <w:r w:rsidR="00561E4B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30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, 2021</w:t>
      </w:r>
    </w:p>
    <w:p w14:paraId="7B1AF9B2" w14:textId="77777777" w:rsidR="002D61B7" w:rsidRPr="00C650A0" w:rsidRDefault="002D61B7" w:rsidP="002D61B7">
      <w:pPr>
        <w:spacing w:line="480" w:lineRule="auto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0383E1BB" w14:textId="2A710375" w:rsidR="002D61B7" w:rsidRPr="00C650A0" w:rsidRDefault="002D61B7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6209C75" w14:textId="77777777" w:rsidR="002E57C7" w:rsidRPr="00C650A0" w:rsidRDefault="002E57C7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650A0">
        <w:rPr>
          <w:rFonts w:ascii="Arial" w:hAnsi="Arial" w:cs="Arial"/>
          <w:sz w:val="22"/>
          <w:szCs w:val="22"/>
        </w:rPr>
        <w:br w:type="page"/>
      </w:r>
    </w:p>
    <w:p w14:paraId="56D6F35C" w14:textId="4C9E75F9" w:rsidR="00C36CCC" w:rsidRPr="00C650A0" w:rsidRDefault="00C36CCC" w:rsidP="00C36CCC">
      <w:pPr>
        <w:pStyle w:val="Heading1"/>
        <w:rPr>
          <w:rFonts w:ascii="Arial" w:hAnsi="Arial" w:cs="Arial"/>
          <w:sz w:val="22"/>
          <w:szCs w:val="22"/>
        </w:rPr>
      </w:pPr>
      <w:r w:rsidRPr="00C650A0">
        <w:rPr>
          <w:rFonts w:ascii="Arial" w:hAnsi="Arial" w:cs="Arial"/>
          <w:sz w:val="22"/>
          <w:szCs w:val="22"/>
        </w:rPr>
        <w:lastRenderedPageBreak/>
        <w:t>Socioeconomic Status and Health Disparities in the United States</w:t>
      </w:r>
    </w:p>
    <w:p w14:paraId="58A65CCD" w14:textId="143A3A24" w:rsidR="002D61B7" w:rsidRPr="00C650A0" w:rsidRDefault="002D61B7" w:rsidP="003D01C2">
      <w:pPr>
        <w:spacing w:line="480" w:lineRule="auto"/>
        <w:ind w:firstLine="720"/>
        <w:rPr>
          <w:rFonts w:ascii="Arial" w:eastAsia="Times New Roman" w:hAnsi="Arial" w:cs="Arial"/>
          <w:sz w:val="22"/>
          <w:szCs w:val="22"/>
        </w:rPr>
      </w:pP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>Health disparities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are defined by the U</w:t>
      </w:r>
      <w:r w:rsidR="003D01C2" w:rsidRPr="00C650A0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3D01C2" w:rsidRPr="00C650A0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Department of Health and Human Services as the differences in health outcomes associated </w:t>
      </w:r>
      <w:r w:rsidR="00A2327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with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social, economic, and environmental disadvantage (Mio et al., 2020, p. 266). </w:t>
      </w:r>
      <w:r w:rsidR="00193F8C" w:rsidRPr="00C650A0">
        <w:rPr>
          <w:rFonts w:ascii="Arial" w:eastAsia="Times New Roman" w:hAnsi="Arial" w:cs="Arial"/>
          <w:color w:val="000000"/>
          <w:sz w:val="22"/>
          <w:szCs w:val="22"/>
        </w:rPr>
        <w:t>H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ealth disparities often affect marginalized groups, or people who are disadvantaged because of their socioeconomic status</w:t>
      </w:r>
      <w:r w:rsidR="000663C6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CF708B" w:rsidRPr="00C650A0">
        <w:rPr>
          <w:rFonts w:ascii="Arial" w:eastAsia="Times New Roman" w:hAnsi="Arial" w:cs="Arial"/>
          <w:color w:val="000000"/>
          <w:sz w:val="22"/>
          <w:szCs w:val="22"/>
        </w:rPr>
        <w:t>(SES)</w:t>
      </w:r>
      <w:r w:rsidR="0086571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CF708B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663C6" w:rsidRPr="00C650A0">
        <w:rPr>
          <w:rFonts w:ascii="Arial" w:eastAsia="Times New Roman" w:hAnsi="Arial" w:cs="Arial"/>
          <w:color w:val="000000"/>
          <w:sz w:val="22"/>
          <w:szCs w:val="22"/>
        </w:rPr>
        <w:t>and do so in the form of food insecurity and food deserts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(Mio et al., 2020, p. 263). </w:t>
      </w:r>
    </w:p>
    <w:p w14:paraId="01430CA1" w14:textId="25106848" w:rsidR="002D61B7" w:rsidRPr="00C650A0" w:rsidRDefault="002D61B7" w:rsidP="003D01C2">
      <w:pPr>
        <w:spacing w:line="480" w:lineRule="auto"/>
        <w:ind w:firstLine="720"/>
        <w:rPr>
          <w:rFonts w:ascii="Arial" w:eastAsia="Times New Roman" w:hAnsi="Arial" w:cs="Arial"/>
          <w:sz w:val="22"/>
          <w:szCs w:val="22"/>
        </w:rPr>
      </w:pP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>Food insecurity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is defined by the U</w:t>
      </w:r>
      <w:r w:rsidR="00D41A5C" w:rsidRPr="00C650A0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D41A5C" w:rsidRPr="00C650A0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Department of Agriculture as households that </w:t>
      </w:r>
      <w:r w:rsidR="00D41A5C" w:rsidRPr="00C650A0">
        <w:rPr>
          <w:rFonts w:ascii="Arial" w:eastAsia="Times New Roman" w:hAnsi="Arial" w:cs="Arial"/>
          <w:color w:val="000000"/>
          <w:sz w:val="22"/>
          <w:szCs w:val="22"/>
        </w:rPr>
        <w:t>are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unable to get access to adequate food for at least one member of the household because </w:t>
      </w:r>
      <w:r w:rsidR="00193F8C" w:rsidRPr="00C650A0">
        <w:rPr>
          <w:rFonts w:ascii="Arial" w:eastAsia="Times New Roman" w:hAnsi="Arial" w:cs="Arial"/>
          <w:color w:val="000000"/>
          <w:sz w:val="22"/>
          <w:szCs w:val="22"/>
        </w:rPr>
        <w:t>of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insufficient resources (Coleman-Jensen et al., 2020). </w:t>
      </w:r>
      <w:r w:rsidR="00D41A5C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According to a 2020 report, over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35 million Americans live in food</w:t>
      </w:r>
      <w:r w:rsidR="0047440F">
        <w:rPr>
          <w:rFonts w:ascii="Arial" w:eastAsia="Times New Roman" w:hAnsi="Arial" w:cs="Arial"/>
          <w:color w:val="000000"/>
          <w:sz w:val="22"/>
          <w:szCs w:val="22"/>
        </w:rPr>
        <w:t>–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insecure households</w:t>
      </w:r>
      <w:r w:rsidR="00193F8C" w:rsidRPr="00C650A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and 3</w:t>
      </w:r>
      <w:r w:rsidR="000663C6" w:rsidRPr="00C650A0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% of people under the federal poverty line 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are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food insecure compared </w:t>
      </w:r>
      <w:r w:rsidR="00917063" w:rsidRPr="00C650A0">
        <w:rPr>
          <w:rFonts w:ascii="Arial" w:eastAsia="Times New Roman" w:hAnsi="Arial" w:cs="Arial"/>
          <w:color w:val="000000"/>
          <w:sz w:val="22"/>
          <w:szCs w:val="22"/>
        </w:rPr>
        <w:t>with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5% of those above</w:t>
      </w:r>
      <w:r w:rsidR="00193F8C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the poverty line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(Coleman-Jensen et al., 2020). </w:t>
      </w:r>
      <w:r w:rsidR="00193F8C" w:rsidRPr="00C650A0">
        <w:rPr>
          <w:rFonts w:ascii="Arial" w:eastAsia="Times New Roman" w:hAnsi="Arial" w:cs="Arial"/>
          <w:color w:val="000000"/>
          <w:sz w:val="22"/>
          <w:szCs w:val="22"/>
        </w:rPr>
        <w:t>This report demonstrates that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193F8C" w:rsidRPr="00C650A0">
        <w:rPr>
          <w:rFonts w:ascii="Arial" w:eastAsia="Times New Roman" w:hAnsi="Arial" w:cs="Arial"/>
          <w:color w:val="000000"/>
          <w:sz w:val="22"/>
          <w:szCs w:val="22"/>
        </w:rPr>
        <w:t>SES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impact</w:t>
      </w:r>
      <w:r w:rsidR="002E57C7" w:rsidRPr="00C650A0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the likelihood of </w:t>
      </w:r>
      <w:r w:rsidR="00DA6A5F" w:rsidRPr="00C650A0">
        <w:rPr>
          <w:rFonts w:ascii="Arial" w:eastAsia="Times New Roman" w:hAnsi="Arial" w:cs="Arial"/>
          <w:color w:val="000000"/>
          <w:sz w:val="22"/>
          <w:szCs w:val="22"/>
        </w:rPr>
        <w:t>a person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being classified as food insecure. </w:t>
      </w:r>
    </w:p>
    <w:p w14:paraId="04481C09" w14:textId="41746012" w:rsidR="002D61B7" w:rsidRPr="00C650A0" w:rsidRDefault="002D61B7" w:rsidP="003D01C2">
      <w:pPr>
        <w:spacing w:line="480" w:lineRule="auto"/>
        <w:rPr>
          <w:rFonts w:ascii="Arial" w:eastAsia="Times New Roman" w:hAnsi="Arial" w:cs="Arial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DA6A5F" w:rsidRPr="00C650A0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ood </w:t>
      </w:r>
      <w:r w:rsidR="00DA6A5F" w:rsidRPr="00C650A0">
        <w:rPr>
          <w:rFonts w:ascii="Arial" w:eastAsia="Times New Roman" w:hAnsi="Arial" w:cs="Arial"/>
          <w:color w:val="000000"/>
          <w:sz w:val="22"/>
          <w:szCs w:val="22"/>
        </w:rPr>
        <w:t>insecurity can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lead to disparities in health, especially in 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>food deserts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D41A5C" w:rsidRPr="00C650A0">
        <w:rPr>
          <w:rFonts w:ascii="Arial" w:eastAsia="Times New Roman" w:hAnsi="Arial" w:cs="Arial"/>
          <w:color w:val="000000"/>
          <w:sz w:val="22"/>
          <w:szCs w:val="22"/>
        </w:rPr>
        <w:t>which are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low-income areas where residents have limited access to healthy foods (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Liese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et al., 2017). A study by Testa et al. (2020) analyzed how food deserts impact the cardiovascular health of young adults and found a statistically significant positive association between residen</w:t>
      </w:r>
      <w:r w:rsidR="00D41A5C" w:rsidRPr="00C650A0">
        <w:rPr>
          <w:rFonts w:ascii="Arial" w:eastAsia="Times New Roman" w:hAnsi="Arial" w:cs="Arial"/>
          <w:color w:val="000000"/>
          <w:sz w:val="22"/>
          <w:szCs w:val="22"/>
        </w:rPr>
        <w:t>ce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in a food desert and cardiovascular health risk. Poor cardiovascular health can lead to a multitude of health problems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>including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heart attack, heart failure, and stroke (Testa et al., 2020). The association between food deserts and </w:t>
      </w:r>
      <w:r w:rsidR="000663C6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poor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cardiovascular health was found to be partially </w:t>
      </w:r>
      <w:r w:rsidR="00D41A5C" w:rsidRPr="00C650A0">
        <w:rPr>
          <w:rFonts w:ascii="Arial" w:eastAsia="Times New Roman" w:hAnsi="Arial" w:cs="Arial"/>
          <w:color w:val="000000"/>
          <w:sz w:val="22"/>
          <w:szCs w:val="22"/>
        </w:rPr>
        <w:t>mediated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by area and personal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>SES</w:t>
      </w:r>
      <w:r w:rsidR="008A61B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—factors that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had been rendered null in previous studies (Testa et al., 2020). These findings support the claim that lower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SES is related to a greater risk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of cardiovascular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health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problems. </w:t>
      </w:r>
    </w:p>
    <w:p w14:paraId="5D684ACD" w14:textId="1B2EDBE3" w:rsidR="002D61B7" w:rsidRPr="00C650A0" w:rsidRDefault="002D61B7" w:rsidP="008A61BD">
      <w:pPr>
        <w:spacing w:line="480" w:lineRule="auto"/>
        <w:ind w:firstLine="720"/>
        <w:rPr>
          <w:rFonts w:ascii="Arial" w:eastAsia="Times New Roman" w:hAnsi="Arial" w:cs="Arial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Cardiovascular health is not the only health area affected by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>SES;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>body mass index (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BMI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>)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and obesity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risk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are </w:t>
      </w:r>
      <w:r w:rsidR="008A61BD" w:rsidRPr="00C650A0">
        <w:rPr>
          <w:rFonts w:ascii="Arial" w:eastAsia="Times New Roman" w:hAnsi="Arial" w:cs="Arial"/>
          <w:color w:val="000000"/>
          <w:sz w:val="22"/>
          <w:szCs w:val="22"/>
        </w:rPr>
        <w:t>impacted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as well. A study by Dubowitz et al. (2012) </w:t>
      </w:r>
      <w:r w:rsidR="004D4BD2" w:rsidRPr="00C650A0">
        <w:rPr>
          <w:rFonts w:ascii="Arial" w:eastAsia="Times New Roman" w:hAnsi="Arial" w:cs="Arial"/>
          <w:color w:val="000000"/>
          <w:sz w:val="22"/>
          <w:szCs w:val="22"/>
        </w:rPr>
        <w:t>on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food environment, neighborhood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>SES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, BMI, and blood pressure in women found that as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neighborhood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SES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increased from the 10th to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the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90th percentile, BMI decreased from 29.86 to 28.60. This may not seem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like a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significant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amount of change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, but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as the authors point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>ed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out,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on a 5</w:t>
      </w:r>
      <w:r w:rsidR="00980DDA" w:rsidRPr="00C650A0">
        <w:rPr>
          <w:rFonts w:ascii="Arial" w:eastAsia="Times New Roman" w:hAnsi="Arial" w:cs="Arial"/>
          <w:color w:val="000000"/>
          <w:sz w:val="22"/>
          <w:szCs w:val="22"/>
        </w:rPr>
        <w:t>.5</w:t>
      </w:r>
      <w:r w:rsidR="0030468A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80DDA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ft (167.64 cm)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woman who weighs 177 pounds, this is a difference of 7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to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8 pounds (Dubowitz et al., 2012). That change in weight can be the difference between being classified as healthy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>versus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>overweight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. The study also found a positive association between fast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food availability and BMI. This study illustrates not only th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>at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SES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affects the BMI and subsequent health status of women but 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that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the types of food available affect food choice and BMI. </w:t>
      </w:r>
    </w:p>
    <w:p w14:paraId="050A9564" w14:textId="25F2ECAD" w:rsidR="002D61B7" w:rsidRPr="00C650A0" w:rsidRDefault="002D61B7" w:rsidP="003D01C2">
      <w:pPr>
        <w:spacing w:line="480" w:lineRule="auto"/>
        <w:rPr>
          <w:rFonts w:ascii="Arial" w:eastAsia="Times New Roman" w:hAnsi="Arial" w:cs="Arial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ab/>
        <w:t xml:space="preserve">This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topic 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>was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further researched by Cantor et al. (2020)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>who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examined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the Supplemental Nutrition Assistance Program (SNAP)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the largest federal domestic food and nutrition assistance program in the U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nited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>tates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. SNAP, which many </w:t>
      </w:r>
      <w:r w:rsidR="000C4FF4" w:rsidRPr="00C650A0">
        <w:rPr>
          <w:rFonts w:ascii="Arial" w:eastAsia="Times New Roman" w:hAnsi="Arial" w:cs="Arial"/>
          <w:color w:val="000000"/>
          <w:sz w:val="22"/>
          <w:szCs w:val="22"/>
        </w:rPr>
        <w:t>associate with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food stamps, is not accepted everywher</w:t>
      </w:r>
      <w:r w:rsidR="001B1456" w:rsidRPr="00C650A0">
        <w:rPr>
          <w:rFonts w:ascii="Arial" w:eastAsia="Times New Roman" w:hAnsi="Arial" w:cs="Arial"/>
          <w:color w:val="000000"/>
          <w:sz w:val="22"/>
          <w:szCs w:val="22"/>
        </w:rPr>
        <w:t>e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and smaller retailers that accept SNAP benefits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have </w:t>
      </w:r>
      <w:r w:rsidR="000663C6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often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>been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found to stock fewer healthy items (Cantor et al., 2020).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>Cantor et al.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were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in the unique position of being able to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>compare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how food security and </w:t>
      </w:r>
      <w:r w:rsidR="0005475C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the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quality of food intake changed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between two groups of residents 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living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>in food deserts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. Once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a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grocery store was </w:t>
      </w:r>
      <w:r w:rsidR="000663C6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introduced </w:t>
      </w:r>
      <w:r w:rsidR="00B84599" w:rsidRPr="00C650A0">
        <w:rPr>
          <w:rFonts w:ascii="Arial" w:eastAsia="Times New Roman" w:hAnsi="Arial" w:cs="Arial"/>
          <w:color w:val="000000"/>
          <w:sz w:val="22"/>
          <w:szCs w:val="22"/>
        </w:rPr>
        <w:t>to the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neighborhood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84599" w:rsidRPr="00C650A0">
        <w:rPr>
          <w:rFonts w:ascii="Arial" w:eastAsia="Times New Roman" w:hAnsi="Arial" w:cs="Arial"/>
          <w:color w:val="000000"/>
          <w:sz w:val="22"/>
          <w:szCs w:val="22"/>
        </w:rPr>
        <w:t>of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one of the groups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food security for those residents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>significant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>ly improved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(Cantor et al., 2020). There was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also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an improvement in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>the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ir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>nutritional intake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, specifically,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a 4.25% decrease in calories from solid fats, alcohol, and added sugars in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>their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diets. </w:t>
      </w:r>
    </w:p>
    <w:p w14:paraId="0211DBAC" w14:textId="140C66D8" w:rsidR="002D61B7" w:rsidRPr="00C650A0" w:rsidRDefault="002D61B7" w:rsidP="003D01C2">
      <w:pPr>
        <w:spacing w:line="480" w:lineRule="auto"/>
        <w:rPr>
          <w:rFonts w:ascii="Arial" w:eastAsia="Times New Roman" w:hAnsi="Arial" w:cs="Arial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ab/>
        <w:t xml:space="preserve">Although the Cantor et al. 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(2020)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study and others show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>ed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a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n association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between grocery store access and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>improved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BMI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and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cardiovascular health, the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>m</w:t>
      </w:r>
      <w:r w:rsidR="002700DE" w:rsidRPr="00C650A0">
        <w:rPr>
          <w:rFonts w:ascii="Arial" w:eastAsia="Times New Roman" w:hAnsi="Arial" w:cs="Arial"/>
          <w:color w:val="000000"/>
          <w:sz w:val="22"/>
          <w:szCs w:val="22"/>
        </w:rPr>
        <w:t>e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>re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presence of grocery stores is not always enough to improve health, especially in low </w:t>
      </w:r>
      <w:r w:rsidR="00AB14F2" w:rsidRPr="00C650A0">
        <w:rPr>
          <w:rFonts w:ascii="Arial" w:eastAsia="Times New Roman" w:hAnsi="Arial" w:cs="Arial"/>
          <w:color w:val="000000"/>
          <w:sz w:val="22"/>
          <w:szCs w:val="22"/>
        </w:rPr>
        <w:t>SES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communities (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Liese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et al., 2017). </w:t>
      </w:r>
      <w:r w:rsidR="003564EE" w:rsidRPr="00C650A0">
        <w:rPr>
          <w:rFonts w:ascii="Arial" w:eastAsia="Times New Roman" w:hAnsi="Arial" w:cs="Arial"/>
          <w:color w:val="000000"/>
          <w:sz w:val="22"/>
          <w:szCs w:val="22"/>
        </w:rPr>
        <w:t>In a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study on food acquisition in relation to BMI among low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income residents</w:t>
      </w:r>
      <w:r w:rsidR="003564EE" w:rsidRPr="00C650A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Liese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et al. (2017) found that the more a person considered lack of access to healthy food </w:t>
      </w:r>
      <w:r w:rsidR="000663C6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to be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a problem, the higher their BMI</w:t>
      </w:r>
      <w:r w:rsidR="00560FE4">
        <w:rPr>
          <w:rFonts w:ascii="Arial" w:eastAsia="Times New Roman" w:hAnsi="Arial" w:cs="Arial"/>
          <w:color w:val="000000"/>
          <w:sz w:val="22"/>
          <w:szCs w:val="22"/>
        </w:rPr>
        <w:t>—</w:t>
      </w:r>
      <w:r w:rsidR="002E124A" w:rsidRPr="00C650A0">
        <w:rPr>
          <w:rFonts w:ascii="Arial" w:eastAsia="Times New Roman" w:hAnsi="Arial" w:cs="Arial"/>
          <w:color w:val="000000"/>
          <w:sz w:val="22"/>
          <w:szCs w:val="22"/>
        </w:rPr>
        <w:t>an association that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was independent of food shopping behaviors and food environment characteristics. 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>Allostatic stress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, or the impact </w:t>
      </w:r>
      <w:r w:rsidR="002E124A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of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chronic stress on the body</w:t>
      </w:r>
      <w:r w:rsidR="002E124A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3564EE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as well as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attitudinal problems </w:t>
      </w:r>
      <w:r w:rsidR="00DB6CEF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can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contribute to higher BMI and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worse cardiovascular health (Mio et al., 2020, p. 278). There are two possible 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>reasons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for this: the health belief model and contemplative practices. </w:t>
      </w:r>
    </w:p>
    <w:p w14:paraId="32C23E50" w14:textId="7AD71FD1" w:rsidR="002E124A" w:rsidRPr="00C650A0" w:rsidRDefault="002D61B7" w:rsidP="003D01C2">
      <w:pPr>
        <w:spacing w:line="480" w:lineRule="auto"/>
        <w:ind w:firstLine="720"/>
        <w:rPr>
          <w:rFonts w:ascii="Arial" w:eastAsia="Times New Roman" w:hAnsi="Arial" w:cs="Arial"/>
          <w:color w:val="000000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>The health belief model centers on the claim that people’s perceptions of the health threats they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a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re facing impact 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their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health behavior and 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>the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effective</w:t>
      </w:r>
      <w:r w:rsidR="00907332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ness of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health practices at reducing health problem</w:t>
      </w:r>
      <w:r w:rsidR="005C4940" w:rsidRPr="00C650A0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(Mio et al., 2020). </w:t>
      </w:r>
      <w:r w:rsidR="002E124A" w:rsidRPr="00C650A0">
        <w:rPr>
          <w:rFonts w:ascii="Arial" w:eastAsia="Times New Roman" w:hAnsi="Arial" w:cs="Arial"/>
          <w:color w:val="000000"/>
          <w:sz w:val="22"/>
          <w:szCs w:val="22"/>
        </w:rPr>
        <w:t>Greater r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esearch</w:t>
      </w:r>
      <w:r w:rsidR="002E124A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into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this model may help 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with the development of strategies to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reduc</w:t>
      </w:r>
      <w:r w:rsidR="00320CB9" w:rsidRPr="00C650A0">
        <w:rPr>
          <w:rFonts w:ascii="Arial" w:eastAsia="Times New Roman" w:hAnsi="Arial" w:cs="Arial"/>
          <w:color w:val="000000"/>
          <w:sz w:val="22"/>
          <w:szCs w:val="22"/>
        </w:rPr>
        <w:t>e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stress and negative thoughts about food acquisition. </w:t>
      </w:r>
    </w:p>
    <w:p w14:paraId="0D9E6698" w14:textId="028CE38E" w:rsidR="00ED7A2A" w:rsidRPr="00C650A0" w:rsidRDefault="002D61B7" w:rsidP="003D01C2">
      <w:pPr>
        <w:spacing w:line="480" w:lineRule="auto"/>
        <w:ind w:firstLine="720"/>
        <w:rPr>
          <w:rFonts w:ascii="Arial" w:eastAsia="Times New Roman" w:hAnsi="Arial" w:cs="Arial"/>
          <w:color w:val="000000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Contemplative practices are another possible solution. All participants in the studies </w:t>
      </w:r>
      <w:r w:rsidR="00320CB9" w:rsidRPr="00C650A0">
        <w:rPr>
          <w:rFonts w:ascii="Arial" w:eastAsia="Times New Roman" w:hAnsi="Arial" w:cs="Arial"/>
          <w:color w:val="000000"/>
          <w:sz w:val="22"/>
          <w:szCs w:val="22"/>
        </w:rPr>
        <w:t>cited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in this paper were adults, </w:t>
      </w:r>
      <w:r w:rsidR="00AB603B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who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may have 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had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more difficulty learning new ways of thinking about the world 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compared </w:t>
      </w:r>
      <w:r w:rsidR="003564EE" w:rsidRPr="00C650A0">
        <w:rPr>
          <w:rFonts w:ascii="Arial" w:eastAsia="Times New Roman" w:hAnsi="Arial" w:cs="Arial"/>
          <w:color w:val="000000"/>
          <w:sz w:val="22"/>
          <w:szCs w:val="22"/>
        </w:rPr>
        <w:t>with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adolescents and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children. One way</w:t>
      </w:r>
      <w:r w:rsidR="00320CB9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to change patterns of thinking is to introduce the concept of transformative learning. 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>Transformative learning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830118" w:rsidRPr="00C650A0">
        <w:rPr>
          <w:rFonts w:ascii="Arial" w:eastAsia="Times New Roman" w:hAnsi="Arial" w:cs="Arial"/>
          <w:color w:val="000000"/>
          <w:sz w:val="22"/>
          <w:szCs w:val="22"/>
        </w:rPr>
        <w:t>involves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learning new ways of seeing the world and unlearning previously held ideas (Le 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Pertel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et al., 2020). 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Transformative learning can </w:t>
      </w:r>
      <w:r w:rsidR="00257B10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occur 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>in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many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ways, but </w:t>
      </w:r>
      <w:r w:rsidR="000D0D0F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individuals’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self-awareness and attentional focus on what is happening in the present moment</w:t>
      </w:r>
      <w:r w:rsidR="000D0D0F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are the most important factors needed for it to occur</w:t>
      </w:r>
      <w:r w:rsidR="00ED7A2A" w:rsidRPr="00C650A0">
        <w:rPr>
          <w:rFonts w:ascii="Arial" w:eastAsia="Times New Roman" w:hAnsi="Arial" w:cs="Arial"/>
          <w:color w:val="000000"/>
          <w:sz w:val="22"/>
          <w:szCs w:val="22"/>
        </w:rPr>
        <w:t>. T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ogether</w:t>
      </w:r>
      <w:r w:rsidR="00ED7A2A" w:rsidRPr="00C650A0">
        <w:rPr>
          <w:rFonts w:ascii="Arial" w:eastAsia="Times New Roman" w:hAnsi="Arial" w:cs="Arial"/>
          <w:color w:val="000000"/>
          <w:sz w:val="22"/>
          <w:szCs w:val="22"/>
        </w:rPr>
        <w:t>, these two factors can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create the “optimal state of awareness for learning</w:t>
      </w:r>
      <w:r w:rsidR="00ED7A2A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in</w:t>
      </w:r>
      <w:r w:rsidR="00ED7A2A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action and learning from experience” (Le 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Pertel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et al., 2020</w:t>
      </w:r>
      <w:r w:rsidR="00DB5E13">
        <w:rPr>
          <w:rFonts w:ascii="Arial" w:eastAsia="Times New Roman" w:hAnsi="Arial" w:cs="Arial"/>
          <w:color w:val="000000"/>
          <w:sz w:val="22"/>
          <w:szCs w:val="22"/>
        </w:rPr>
        <w:t>, p. 811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). </w:t>
      </w:r>
    </w:p>
    <w:p w14:paraId="02250DC2" w14:textId="18E08544" w:rsidR="002D61B7" w:rsidRPr="00C650A0" w:rsidRDefault="002D61B7" w:rsidP="003D01C2">
      <w:pPr>
        <w:spacing w:line="480" w:lineRule="auto"/>
        <w:ind w:firstLine="720"/>
        <w:rPr>
          <w:rFonts w:ascii="Arial" w:eastAsia="Times New Roman" w:hAnsi="Arial" w:cs="Arial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>Relearning thinking patterns may be difficult, but it is a possible solution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to the problem of high BMI and cardiovascular health 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>risk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. This goes 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>together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with meditation as well. Meditation </w:t>
      </w:r>
      <w:r w:rsidR="00C36CCC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is shown to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reduce cardiovascular risk</w:t>
      </w:r>
      <w:r w:rsidR="00C36CCC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and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blood pressure and to prevent a second heart attack or stroke (Le 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Pertel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et al., 2020). </w:t>
      </w:r>
      <w:r w:rsidR="00C36CCC" w:rsidRPr="00C650A0">
        <w:rPr>
          <w:rFonts w:ascii="Arial" w:eastAsia="Times New Roman" w:hAnsi="Arial" w:cs="Arial"/>
          <w:color w:val="000000"/>
          <w:sz w:val="22"/>
          <w:szCs w:val="22"/>
        </w:rPr>
        <w:t>As studies have demonstrated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, cardiovascular risk is a </w:t>
      </w:r>
      <w:r w:rsidR="00C36CCC" w:rsidRPr="00C650A0">
        <w:rPr>
          <w:rFonts w:ascii="Arial" w:eastAsia="Times New Roman" w:hAnsi="Arial" w:cs="Arial"/>
          <w:color w:val="000000"/>
          <w:sz w:val="22"/>
          <w:szCs w:val="22"/>
        </w:rPr>
        <w:t>major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problem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DB6CEF" w:rsidRPr="00C650A0">
        <w:rPr>
          <w:rFonts w:ascii="Arial" w:eastAsia="Times New Roman" w:hAnsi="Arial" w:cs="Arial"/>
          <w:color w:val="000000"/>
          <w:sz w:val="22"/>
          <w:szCs w:val="22"/>
        </w:rPr>
        <w:t>Because meditation</w:t>
      </w:r>
      <w:r w:rsidR="00C36CCC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can be done for free anywhere,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DB6CEF" w:rsidRPr="00C650A0">
        <w:rPr>
          <w:rFonts w:ascii="Arial" w:eastAsia="Times New Roman" w:hAnsi="Arial" w:cs="Arial"/>
          <w:color w:val="000000"/>
          <w:sz w:val="22"/>
          <w:szCs w:val="22"/>
        </w:rPr>
        <w:t>it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is an affordable </w:t>
      </w:r>
      <w:r w:rsidR="00BF0ED4" w:rsidRPr="00C650A0">
        <w:rPr>
          <w:rFonts w:ascii="Arial" w:eastAsia="Times New Roman" w:hAnsi="Arial" w:cs="Arial"/>
          <w:color w:val="000000"/>
          <w:sz w:val="22"/>
          <w:szCs w:val="22"/>
        </w:rPr>
        <w:t>way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to 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potentially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reduc</w:t>
      </w:r>
      <w:r w:rsidR="00DB6CEF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e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the risk of cardiovascular 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health problems </w:t>
      </w:r>
      <w:r w:rsidR="00DB6CEF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for people who continue to lack wide access to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food.</w:t>
      </w:r>
    </w:p>
    <w:p w14:paraId="6E0B6B8A" w14:textId="15C2E71A" w:rsidR="00B61B31" w:rsidRPr="00C650A0" w:rsidRDefault="002D61B7" w:rsidP="00C650A0">
      <w:pPr>
        <w:spacing w:line="48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ab/>
        <w:t xml:space="preserve">Although there are obvious disparities in health based on </w:t>
      </w:r>
      <w:r w:rsidR="00C36CCC" w:rsidRPr="00C650A0">
        <w:rPr>
          <w:rFonts w:ascii="Arial" w:eastAsia="Times New Roman" w:hAnsi="Arial" w:cs="Arial"/>
          <w:color w:val="000000"/>
          <w:sz w:val="22"/>
          <w:szCs w:val="22"/>
        </w:rPr>
        <w:t>SES</w:t>
      </w:r>
      <w:r w:rsidR="00626B0C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in the United States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, simple solutions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C36CCC" w:rsidRPr="00C650A0">
        <w:rPr>
          <w:rFonts w:ascii="Arial" w:eastAsia="Times New Roman" w:hAnsi="Arial" w:cs="Arial"/>
          <w:color w:val="000000"/>
          <w:sz w:val="22"/>
          <w:szCs w:val="22"/>
        </w:rPr>
        <w:t>such as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5C4940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behaviors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focused on the health belief model </w:t>
      </w:r>
      <w:r w:rsidR="00DB6CEF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and contemplative practices </w:t>
      </w:r>
      <w:r w:rsidR="000D4F7D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may help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reduce </w:t>
      </w:r>
      <w:r w:rsidR="00C36CCC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such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health risks </w:t>
      </w:r>
      <w:r w:rsidR="00C36CCC" w:rsidRPr="00C650A0">
        <w:rPr>
          <w:rFonts w:ascii="Arial" w:eastAsia="Times New Roman" w:hAnsi="Arial" w:cs="Arial"/>
          <w:color w:val="000000"/>
          <w:sz w:val="22"/>
          <w:szCs w:val="22"/>
        </w:rPr>
        <w:t>as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high BMI and cardiovascular </w:t>
      </w:r>
      <w:r w:rsidR="00DB6CEF" w:rsidRPr="00C650A0">
        <w:rPr>
          <w:rFonts w:ascii="Arial" w:eastAsia="Times New Roman" w:hAnsi="Arial" w:cs="Arial"/>
          <w:color w:val="000000"/>
          <w:sz w:val="22"/>
          <w:szCs w:val="22"/>
        </w:rPr>
        <w:t>problems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DB6CEF" w:rsidRPr="00C650A0">
        <w:rPr>
          <w:rFonts w:ascii="Arial" w:eastAsia="Times New Roman" w:hAnsi="Arial" w:cs="Arial"/>
          <w:color w:val="000000"/>
          <w:sz w:val="22"/>
          <w:szCs w:val="22"/>
        </w:rPr>
        <w:t>until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C36CCC" w:rsidRPr="00C650A0">
        <w:rPr>
          <w:rFonts w:ascii="Arial" w:eastAsia="Times New Roman" w:hAnsi="Arial" w:cs="Arial"/>
          <w:color w:val="000000"/>
          <w:sz w:val="22"/>
          <w:szCs w:val="22"/>
        </w:rPr>
        <w:t>larger societal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changes </w:t>
      </w:r>
      <w:r w:rsidR="00DB6CEF" w:rsidRPr="00C650A0">
        <w:rPr>
          <w:rFonts w:ascii="Arial" w:eastAsia="Times New Roman" w:hAnsi="Arial" w:cs="Arial"/>
          <w:color w:val="000000"/>
          <w:sz w:val="22"/>
          <w:szCs w:val="22"/>
        </w:rPr>
        <w:t>can be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made. </w:t>
      </w:r>
      <w:r w:rsidR="00B61B31" w:rsidRPr="00C650A0">
        <w:rPr>
          <w:rFonts w:ascii="Arial" w:eastAsia="Times New Roman" w:hAnsi="Arial" w:cs="Arial"/>
          <w:color w:val="000000"/>
          <w:sz w:val="22"/>
          <w:szCs w:val="22"/>
        </w:rPr>
        <w:br w:type="page"/>
      </w:r>
    </w:p>
    <w:p w14:paraId="112EEFAD" w14:textId="5ACFB97A" w:rsidR="002D61B7" w:rsidRPr="00C650A0" w:rsidRDefault="002D61B7" w:rsidP="00C36CCC">
      <w:pPr>
        <w:pStyle w:val="Heading1"/>
        <w:rPr>
          <w:rFonts w:ascii="Arial" w:hAnsi="Arial" w:cs="Arial"/>
          <w:sz w:val="22"/>
          <w:szCs w:val="22"/>
        </w:rPr>
      </w:pPr>
      <w:r w:rsidRPr="00C650A0">
        <w:rPr>
          <w:rFonts w:ascii="Arial" w:hAnsi="Arial" w:cs="Arial"/>
          <w:sz w:val="22"/>
          <w:szCs w:val="22"/>
        </w:rPr>
        <w:lastRenderedPageBreak/>
        <w:t>References</w:t>
      </w:r>
    </w:p>
    <w:p w14:paraId="50AD7D10" w14:textId="00E74DD0" w:rsidR="002D61B7" w:rsidRPr="00C650A0" w:rsidRDefault="002D61B7" w:rsidP="003D01C2">
      <w:pPr>
        <w:spacing w:line="480" w:lineRule="auto"/>
        <w:ind w:left="720" w:hanging="720"/>
        <w:rPr>
          <w:rFonts w:ascii="Arial" w:eastAsia="Times New Roman" w:hAnsi="Arial" w:cs="Arial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>Cantor, J., Beckman, R., Collins, R. L., Ghosh-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Dastidar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, M., Richardson, A. S., &amp; Dubowitz, T. (2020). SNAP participants improved food security and diet after a full-service supermarket opened in an urban food desert. 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>Health Affairs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39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(8), 1386</w:t>
      </w:r>
      <w:r w:rsidR="003D01C2" w:rsidRPr="00C650A0">
        <w:rPr>
          <w:rFonts w:ascii="Arial" w:eastAsia="Times New Roman" w:hAnsi="Arial" w:cs="Arial"/>
          <w:color w:val="000000"/>
          <w:sz w:val="22"/>
          <w:szCs w:val="22"/>
        </w:rPr>
        <w:t>–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1394.</w:t>
      </w:r>
      <w:r w:rsidR="009647A9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9" w:history="1">
        <w:r w:rsidR="009647A9" w:rsidRPr="00C650A0">
          <w:rPr>
            <w:rStyle w:val="Hyperlink"/>
            <w:rFonts w:ascii="Arial" w:eastAsia="Times New Roman" w:hAnsi="Arial" w:cs="Arial"/>
            <w:sz w:val="22"/>
            <w:szCs w:val="22"/>
          </w:rPr>
          <w:t>https://doi.org/10.1377/hlthaff.2019.01309</w:t>
        </w:r>
      </w:hyperlink>
      <w:r w:rsidRPr="00C650A0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AA3B803" w14:textId="7CF5116E" w:rsidR="002D61B7" w:rsidRPr="00C650A0" w:rsidRDefault="002D61B7" w:rsidP="003D01C2">
      <w:pPr>
        <w:spacing w:line="480" w:lineRule="auto"/>
        <w:ind w:left="720" w:hanging="720"/>
        <w:rPr>
          <w:rFonts w:ascii="Arial" w:eastAsia="Times New Roman" w:hAnsi="Arial" w:cs="Arial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Coleman-Jensen, A., 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Rabbitt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, M. P., Gregory, C. A., &amp; Singh, A. (2020). 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>Household food security in the United States in 2019</w:t>
      </w:r>
      <w:r w:rsidR="00917063"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2E57C7" w:rsidRPr="00C650A0">
        <w:rPr>
          <w:rFonts w:ascii="Arial" w:eastAsia="Times New Roman" w:hAnsi="Arial" w:cs="Arial"/>
          <w:color w:val="000000"/>
          <w:sz w:val="22"/>
          <w:szCs w:val="22"/>
        </w:rPr>
        <w:t>(</w:t>
      </w:r>
      <w:r w:rsidR="00917063" w:rsidRPr="00C650A0">
        <w:rPr>
          <w:rFonts w:ascii="Arial" w:eastAsia="Times New Roman" w:hAnsi="Arial" w:cs="Arial"/>
          <w:color w:val="000000"/>
          <w:sz w:val="22"/>
          <w:szCs w:val="22"/>
        </w:rPr>
        <w:t>Economic Research Report No. 275</w:t>
      </w:r>
      <w:r w:rsidR="002E57C7" w:rsidRPr="00C650A0">
        <w:rPr>
          <w:rFonts w:ascii="Arial" w:eastAsia="Times New Roman" w:hAnsi="Arial" w:cs="Arial"/>
          <w:color w:val="000000"/>
          <w:sz w:val="22"/>
          <w:szCs w:val="22"/>
        </w:rPr>
        <w:t>)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. United States Department of Agriculture. </w:t>
      </w:r>
      <w:hyperlink r:id="rId10" w:history="1">
        <w:r w:rsidRPr="00C650A0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https://www.ers.usda.gov/webdocs/publications/99282/err-275.pdf?v=744.4</w:t>
        </w:r>
      </w:hyperlink>
      <w:r w:rsidRPr="00C650A0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65D725D3" w14:textId="60AA94B5" w:rsidR="002D61B7" w:rsidRPr="00C650A0" w:rsidRDefault="002D61B7" w:rsidP="003D01C2">
      <w:pPr>
        <w:spacing w:line="480" w:lineRule="auto"/>
        <w:ind w:left="720" w:hanging="720"/>
        <w:rPr>
          <w:rFonts w:ascii="Arial" w:eastAsia="Times New Roman" w:hAnsi="Arial" w:cs="Arial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>Dubowitz, T., Ghosh-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Dastidar</w:t>
      </w:r>
      <w:proofErr w:type="spellEnd"/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M., Eibner, C., Slaughter, M. E., Fernandes, M., 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Whitsel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, E. A., Bird, C. E., Jewell, A., Margolis, K. L., Li, W., Michael, Y. L., Shih, R. A., Manson, J. E., &amp; 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Escarce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, J. J. (2012). The women’s health initiative: The food environment, neighborhood socioeconomic status, BMI, and blood pressure. 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>Obesity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20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(4), 862</w:t>
      </w:r>
      <w:r w:rsidR="003D01C2" w:rsidRPr="00C650A0">
        <w:rPr>
          <w:rFonts w:ascii="Arial" w:eastAsia="Times New Roman" w:hAnsi="Arial" w:cs="Arial"/>
          <w:color w:val="000000"/>
          <w:sz w:val="22"/>
          <w:szCs w:val="22"/>
        </w:rPr>
        <w:t>–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871.</w:t>
      </w:r>
      <w:hyperlink r:id="rId11" w:history="1">
        <w:r w:rsidR="009647A9" w:rsidRPr="00C650A0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9647A9" w:rsidRPr="00C650A0">
          <w:rPr>
            <w:rStyle w:val="Hyperlink"/>
            <w:rFonts w:ascii="Arial" w:eastAsia="Times New Roman" w:hAnsi="Arial" w:cs="Arial"/>
            <w:sz w:val="22"/>
            <w:szCs w:val="22"/>
          </w:rPr>
          <w:t>https://doi.org/10.1038/oby.2011.141</w:t>
        </w:r>
      </w:hyperlink>
      <w:r w:rsidRPr="00C650A0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9D30E96" w14:textId="0B17C564" w:rsidR="002D61B7" w:rsidRPr="00C650A0" w:rsidRDefault="002D61B7" w:rsidP="003D01C2">
      <w:pPr>
        <w:spacing w:line="480" w:lineRule="auto"/>
        <w:ind w:left="720" w:hanging="720"/>
        <w:rPr>
          <w:rFonts w:ascii="Arial" w:eastAsia="Times New Roman" w:hAnsi="Arial" w:cs="Arial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Le 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Pertel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>, N., Fisher, J., &amp; van Dam, N. (2020). Neuroscience of embodied reflection: Somatic/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mindbody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/contemplative practices, health, and transformative learning. 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>Reflective Practice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21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(6), 803</w:t>
      </w:r>
      <w:r w:rsidR="003D01C2" w:rsidRPr="00C650A0">
        <w:rPr>
          <w:rFonts w:ascii="Arial" w:eastAsia="Times New Roman" w:hAnsi="Arial" w:cs="Arial"/>
          <w:color w:val="000000"/>
          <w:sz w:val="22"/>
          <w:szCs w:val="22"/>
        </w:rPr>
        <w:t>–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818.</w:t>
      </w:r>
      <w:hyperlink r:id="rId12" w:history="1">
        <w:r w:rsidR="00712EE0" w:rsidRPr="00C650A0">
          <w:rPr>
            <w:rFonts w:ascii="Arial" w:hAnsi="Arial" w:cs="Arial"/>
            <w:sz w:val="22"/>
            <w:szCs w:val="22"/>
          </w:rPr>
          <w:t xml:space="preserve"> </w:t>
        </w:r>
        <w:r w:rsidR="00712EE0" w:rsidRPr="00C650A0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https://doi.org/</w:t>
        </w:r>
        <w:r w:rsidRPr="00C650A0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10.1080/14623943.2020.1827492</w:t>
        </w:r>
      </w:hyperlink>
      <w:r w:rsidRPr="00C650A0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0E3386F" w14:textId="19F2FEF3" w:rsidR="002D61B7" w:rsidRPr="00C650A0" w:rsidRDefault="002D61B7" w:rsidP="003D01C2">
      <w:pPr>
        <w:spacing w:line="480" w:lineRule="auto"/>
        <w:ind w:left="720" w:hanging="720"/>
        <w:rPr>
          <w:rFonts w:ascii="Arial" w:eastAsia="Times New Roman" w:hAnsi="Arial" w:cs="Arial"/>
          <w:sz w:val="22"/>
          <w:szCs w:val="22"/>
        </w:rPr>
      </w:pP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Liese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, A. D., 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Xiaonan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>, M., Hutto</w:t>
      </w:r>
      <w:r w:rsidR="00985B86" w:rsidRPr="00C650A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 B., Sharpe, P. A., Bell, B. A., &amp; Wilcox, S. (2017). Food shopping and acquisition behaviors in relation to BMI among residents of low-income communities in South Carolina. 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>International Journal of Environmental Research and Public Health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14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(9), 1075</w:t>
      </w:r>
      <w:r w:rsidR="003D01C2" w:rsidRPr="00C650A0">
        <w:rPr>
          <w:rFonts w:ascii="Arial" w:eastAsia="Times New Roman" w:hAnsi="Arial" w:cs="Arial"/>
          <w:color w:val="000000"/>
          <w:sz w:val="22"/>
          <w:szCs w:val="22"/>
        </w:rPr>
        <w:t>–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1090. </w:t>
      </w:r>
      <w:hyperlink r:id="rId13" w:history="1">
        <w:r w:rsidR="00712EE0" w:rsidRPr="00C650A0">
          <w:rPr>
            <w:rStyle w:val="Hyperlink"/>
            <w:rFonts w:ascii="Arial" w:eastAsia="Times New Roman" w:hAnsi="Arial" w:cs="Arial"/>
            <w:sz w:val="22"/>
            <w:szCs w:val="22"/>
          </w:rPr>
          <w:t>https://doi.org/10.3390/ijerph14091075</w:t>
        </w:r>
      </w:hyperlink>
      <w:r w:rsidRPr="00C650A0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7F8A6AF" w14:textId="56F84314" w:rsidR="002D61B7" w:rsidRPr="00C650A0" w:rsidRDefault="002D61B7" w:rsidP="003D01C2">
      <w:pPr>
        <w:spacing w:line="480" w:lineRule="auto"/>
        <w:ind w:left="720" w:hanging="720"/>
        <w:rPr>
          <w:rFonts w:ascii="Arial" w:eastAsia="Times New Roman" w:hAnsi="Arial" w:cs="Arial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Mio, J. S., Barker, L. A., Domenech Rodriguez, M. M., &amp; Gonzalez, J. (2020). 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Multicultural psychology: Understanding our diverse communities 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(5th ed.). Oxford University Press. </w:t>
      </w:r>
    </w:p>
    <w:p w14:paraId="102E726A" w14:textId="77DB704C" w:rsidR="00823A76" w:rsidRPr="00C650A0" w:rsidRDefault="002D61B7" w:rsidP="00235E18">
      <w:pPr>
        <w:spacing w:line="480" w:lineRule="auto"/>
        <w:ind w:left="720" w:hanging="720"/>
        <w:rPr>
          <w:rFonts w:ascii="Arial" w:eastAsia="Times New Roman" w:hAnsi="Arial" w:cs="Arial"/>
          <w:sz w:val="22"/>
          <w:szCs w:val="22"/>
        </w:rPr>
      </w:pP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Testa, A., Jackson, D. B., </w:t>
      </w:r>
      <w:proofErr w:type="spellStart"/>
      <w:r w:rsidRPr="00C650A0">
        <w:rPr>
          <w:rFonts w:ascii="Arial" w:eastAsia="Times New Roman" w:hAnsi="Arial" w:cs="Arial"/>
          <w:color w:val="000000"/>
          <w:sz w:val="22"/>
          <w:szCs w:val="22"/>
        </w:rPr>
        <w:t>Semenza</w:t>
      </w:r>
      <w:proofErr w:type="spellEnd"/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, D. C., &amp; Vaughn, M. G. (2020). Food deserts and cardiovascular health among young adults. 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>Public Health Nutrition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C650A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24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>(1), 117</w:t>
      </w:r>
      <w:r w:rsidR="003D01C2" w:rsidRPr="00C650A0">
        <w:rPr>
          <w:rFonts w:ascii="Arial" w:eastAsia="Times New Roman" w:hAnsi="Arial" w:cs="Arial"/>
          <w:color w:val="000000"/>
          <w:sz w:val="22"/>
          <w:szCs w:val="22"/>
        </w:rPr>
        <w:t>–</w:t>
      </w:r>
      <w:r w:rsidRPr="00C650A0">
        <w:rPr>
          <w:rFonts w:ascii="Arial" w:eastAsia="Times New Roman" w:hAnsi="Arial" w:cs="Arial"/>
          <w:color w:val="000000"/>
          <w:sz w:val="22"/>
          <w:szCs w:val="22"/>
        </w:rPr>
        <w:t xml:space="preserve">124. </w:t>
      </w:r>
      <w:hyperlink r:id="rId14" w:history="1">
        <w:r w:rsidR="00712EE0" w:rsidRPr="00C650A0">
          <w:rPr>
            <w:rStyle w:val="Hyperlink"/>
            <w:rFonts w:ascii="Arial" w:eastAsia="Times New Roman" w:hAnsi="Arial" w:cs="Arial"/>
            <w:sz w:val="22"/>
            <w:szCs w:val="22"/>
          </w:rPr>
          <w:t>https://doi.org/10.1017/S1368980020001536</w:t>
        </w:r>
      </w:hyperlink>
    </w:p>
    <w:sectPr w:rsidR="00823A76" w:rsidRPr="00C650A0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72D2B" w14:textId="77777777" w:rsidR="003D01C2" w:rsidRDefault="003D01C2" w:rsidP="003D01C2">
      <w:r>
        <w:separator/>
      </w:r>
    </w:p>
  </w:endnote>
  <w:endnote w:type="continuationSeparator" w:id="0">
    <w:p w14:paraId="5FD7C71A" w14:textId="77777777" w:rsidR="003D01C2" w:rsidRDefault="003D01C2" w:rsidP="003D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44171" w14:textId="77777777" w:rsidR="003D01C2" w:rsidRDefault="003D01C2" w:rsidP="003D01C2">
      <w:r>
        <w:separator/>
      </w:r>
    </w:p>
  </w:footnote>
  <w:footnote w:type="continuationSeparator" w:id="0">
    <w:p w14:paraId="00394625" w14:textId="77777777" w:rsidR="003D01C2" w:rsidRDefault="003D01C2" w:rsidP="003D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4656415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14:paraId="3EEA78F5" w14:textId="614FCBDA" w:rsidR="003D01C2" w:rsidRDefault="003D01C2">
        <w:pPr>
          <w:pStyle w:val="Header"/>
          <w:jc w:val="right"/>
        </w:pPr>
        <w:r w:rsidRPr="003E6380">
          <w:rPr>
            <w:rFonts w:ascii="Arial" w:hAnsi="Arial" w:cs="Arial"/>
            <w:sz w:val="22"/>
            <w:szCs w:val="22"/>
          </w:rPr>
          <w:fldChar w:fldCharType="begin"/>
        </w:r>
        <w:r w:rsidRPr="003E6380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3E6380">
          <w:rPr>
            <w:rFonts w:ascii="Arial" w:hAnsi="Arial" w:cs="Arial"/>
            <w:sz w:val="22"/>
            <w:szCs w:val="22"/>
          </w:rPr>
          <w:fldChar w:fldCharType="separate"/>
        </w:r>
        <w:r w:rsidRPr="003E6380">
          <w:rPr>
            <w:rFonts w:ascii="Arial" w:hAnsi="Arial" w:cs="Arial"/>
            <w:noProof/>
            <w:sz w:val="22"/>
            <w:szCs w:val="22"/>
          </w:rPr>
          <w:t>2</w:t>
        </w:r>
        <w:r w:rsidRPr="003E6380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5183176" w14:textId="77777777" w:rsidR="003D01C2" w:rsidRDefault="003D0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B7"/>
    <w:rsid w:val="0005475C"/>
    <w:rsid w:val="000663C6"/>
    <w:rsid w:val="000C4FF4"/>
    <w:rsid w:val="000D0D0F"/>
    <w:rsid w:val="000D4F7D"/>
    <w:rsid w:val="0018183E"/>
    <w:rsid w:val="00193F8C"/>
    <w:rsid w:val="001B1456"/>
    <w:rsid w:val="001B3054"/>
    <w:rsid w:val="001D68BB"/>
    <w:rsid w:val="00235E18"/>
    <w:rsid w:val="002516FA"/>
    <w:rsid w:val="00254E41"/>
    <w:rsid w:val="00257B10"/>
    <w:rsid w:val="002674EE"/>
    <w:rsid w:val="002700DE"/>
    <w:rsid w:val="002719A2"/>
    <w:rsid w:val="002D5826"/>
    <w:rsid w:val="002D61B7"/>
    <w:rsid w:val="002E124A"/>
    <w:rsid w:val="002E57C7"/>
    <w:rsid w:val="0030468A"/>
    <w:rsid w:val="00320CB9"/>
    <w:rsid w:val="003564EE"/>
    <w:rsid w:val="00371612"/>
    <w:rsid w:val="003D01C2"/>
    <w:rsid w:val="003E6380"/>
    <w:rsid w:val="0047440F"/>
    <w:rsid w:val="004D4BD2"/>
    <w:rsid w:val="0052795B"/>
    <w:rsid w:val="00560FE4"/>
    <w:rsid w:val="00561E4B"/>
    <w:rsid w:val="005C4940"/>
    <w:rsid w:val="00626B0C"/>
    <w:rsid w:val="006577C9"/>
    <w:rsid w:val="00712EE0"/>
    <w:rsid w:val="007A5E35"/>
    <w:rsid w:val="00830118"/>
    <w:rsid w:val="00865710"/>
    <w:rsid w:val="008A61BD"/>
    <w:rsid w:val="00907332"/>
    <w:rsid w:val="00917063"/>
    <w:rsid w:val="009647A9"/>
    <w:rsid w:val="00980DDA"/>
    <w:rsid w:val="00985B86"/>
    <w:rsid w:val="00A12DA6"/>
    <w:rsid w:val="00A23272"/>
    <w:rsid w:val="00A64045"/>
    <w:rsid w:val="00A905F9"/>
    <w:rsid w:val="00AB14F2"/>
    <w:rsid w:val="00AB603B"/>
    <w:rsid w:val="00B11CDF"/>
    <w:rsid w:val="00B23129"/>
    <w:rsid w:val="00B31725"/>
    <w:rsid w:val="00B61B31"/>
    <w:rsid w:val="00B84599"/>
    <w:rsid w:val="00BF0ED4"/>
    <w:rsid w:val="00C24FDE"/>
    <w:rsid w:val="00C34D74"/>
    <w:rsid w:val="00C36CCC"/>
    <w:rsid w:val="00C452E7"/>
    <w:rsid w:val="00C650A0"/>
    <w:rsid w:val="00CF708B"/>
    <w:rsid w:val="00D41A5C"/>
    <w:rsid w:val="00D62DD2"/>
    <w:rsid w:val="00D8710C"/>
    <w:rsid w:val="00DA6A5F"/>
    <w:rsid w:val="00DB5E13"/>
    <w:rsid w:val="00DB6CEF"/>
    <w:rsid w:val="00EB713E"/>
    <w:rsid w:val="00EC4CC8"/>
    <w:rsid w:val="00ED7A2A"/>
    <w:rsid w:val="00F0633E"/>
    <w:rsid w:val="00F9530D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965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CCC"/>
    <w:pPr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1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D61B7"/>
  </w:style>
  <w:style w:type="character" w:styleId="Hyperlink">
    <w:name w:val="Hyperlink"/>
    <w:basedOn w:val="DefaultParagraphFont"/>
    <w:uiPriority w:val="99"/>
    <w:unhideWhenUsed/>
    <w:rsid w:val="002D61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0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1C2"/>
  </w:style>
  <w:style w:type="paragraph" w:styleId="Footer">
    <w:name w:val="footer"/>
    <w:basedOn w:val="Normal"/>
    <w:link w:val="FooterChar"/>
    <w:uiPriority w:val="99"/>
    <w:unhideWhenUsed/>
    <w:rsid w:val="003D0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1C2"/>
  </w:style>
  <w:style w:type="character" w:styleId="UnresolvedMention">
    <w:name w:val="Unresolved Mention"/>
    <w:basedOn w:val="DefaultParagraphFont"/>
    <w:uiPriority w:val="99"/>
    <w:semiHidden/>
    <w:unhideWhenUsed/>
    <w:rsid w:val="00712EE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A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0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CB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36CCC"/>
    <w:rPr>
      <w:rFonts w:ascii="Times New Roman" w:eastAsia="Times New Roman" w:hAnsi="Times New Roman" w:cs="Times New Roman"/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1706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B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3390/ijerph14091075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doi.org/10.1080/14623943.2020.182749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%20https://doi.org/10.1038/oby.2011.14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ers.usda.gov/webdocs/publications/99282/err-275.pdf?v=744.4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377/hlthaff.2019.01309" TargetMode="External"/><Relationship Id="rId14" Type="http://schemas.openxmlformats.org/officeDocument/2006/relationships/hyperlink" Target="https://doi.org/10.1017/S13689800200015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1AF64BD63B045AA9A0B697611A7E7" ma:contentTypeVersion="13" ma:contentTypeDescription="Create a new document." ma:contentTypeScope="" ma:versionID="577ae9de38a1d59c55daa3d70aed3812">
  <xsd:schema xmlns:xsd="http://www.w3.org/2001/XMLSchema" xmlns:xs="http://www.w3.org/2001/XMLSchema" xmlns:p="http://schemas.microsoft.com/office/2006/metadata/properties" xmlns:ns3="ba88afe1-d897-4f80-aa04-046d4eb4df8e" xmlns:ns4="e73950f9-89bf-4d2d-90c7-1a0e5b17f7f2" targetNamespace="http://schemas.microsoft.com/office/2006/metadata/properties" ma:root="true" ma:fieldsID="69f23878f092fa9ff37c29167fede9d2" ns3:_="" ns4:_="">
    <xsd:import namespace="ba88afe1-d897-4f80-aa04-046d4eb4df8e"/>
    <xsd:import namespace="e73950f9-89bf-4d2d-90c7-1a0e5b17f7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afe1-d897-4f80-aa04-046d4eb4d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50f9-89bf-4d2d-90c7-1a0e5b17f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E1F74-F279-44E7-9841-A6912091F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8afe1-d897-4f80-aa04-046d4eb4df8e"/>
    <ds:schemaRef ds:uri="e73950f9-89bf-4d2d-90c7-1a0e5b17f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6BEFE-A599-40F5-AD54-93AB8D813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50721-769D-4B7E-A136-EE9D1113E56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73950f9-89bf-4d2d-90c7-1a0e5b17f7f2"/>
    <ds:schemaRef ds:uri="http://schemas.microsoft.com/office/infopath/2007/PartnerControls"/>
    <ds:schemaRef ds:uri="ba88afe1-d897-4f80-aa04-046d4eb4df8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2021-11-22T17:00:00Z</dcterms:created>
  <dcterms:modified xsi:type="dcterms:W3CDTF">2021-11-22T17:00:00Z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0x010100B421AF64BD63B045AA9A0B697611A7E7</vt:lpwstr>
  </property>
</Properties>
</file>